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7EC04" w14:textId="77777777" w:rsidR="00671B32" w:rsidRDefault="00DB09E8" w:rsidP="00DB09E8">
      <w:pPr>
        <w:numPr>
          <w:ilvl w:val="0"/>
          <w:numId w:val="1"/>
        </w:numPr>
        <w:tabs>
          <w:tab w:val="clear" w:pos="720"/>
          <w:tab w:val="num" w:pos="360"/>
        </w:tabs>
        <w:spacing w:before="240"/>
        <w:ind w:left="360"/>
        <w:jc w:val="both"/>
        <w:rPr>
          <w:rFonts w:ascii="Arial" w:hAnsi="Arial" w:cs="Arial"/>
          <w:sz w:val="22"/>
          <w:szCs w:val="22"/>
        </w:rPr>
      </w:pPr>
      <w:r w:rsidRPr="00DB09E8">
        <w:rPr>
          <w:rFonts w:ascii="Arial" w:hAnsi="Arial" w:cs="Arial"/>
          <w:sz w:val="22"/>
          <w:szCs w:val="22"/>
        </w:rPr>
        <w:t xml:space="preserve">Section 193A of the </w:t>
      </w:r>
      <w:r w:rsidRPr="00DB09E8">
        <w:rPr>
          <w:rFonts w:ascii="Arial" w:hAnsi="Arial" w:cs="Arial"/>
          <w:i/>
          <w:iCs/>
          <w:sz w:val="22"/>
          <w:szCs w:val="22"/>
        </w:rPr>
        <w:t>Workers’ Compensation and Rehabilitation Act 2003</w:t>
      </w:r>
      <w:r w:rsidRPr="00DB09E8">
        <w:rPr>
          <w:rFonts w:ascii="Arial" w:hAnsi="Arial" w:cs="Arial"/>
          <w:sz w:val="22"/>
          <w:szCs w:val="22"/>
        </w:rPr>
        <w:t xml:space="preserve"> entitles workers injured between 15 October 2013 and 31 January 2015 to additional lump sum compensation where the injury results in a degree of permanent impairment of 5% or less. </w:t>
      </w:r>
    </w:p>
    <w:p w14:paraId="63AF2BBF" w14:textId="13F4CF51" w:rsidR="00DB09E8" w:rsidRPr="00CA452E" w:rsidRDefault="00DB09E8" w:rsidP="00DB09E8">
      <w:pPr>
        <w:numPr>
          <w:ilvl w:val="0"/>
          <w:numId w:val="1"/>
        </w:numPr>
        <w:tabs>
          <w:tab w:val="clear" w:pos="720"/>
          <w:tab w:val="num" w:pos="360"/>
        </w:tabs>
        <w:spacing w:before="240"/>
        <w:ind w:left="360"/>
        <w:jc w:val="both"/>
        <w:rPr>
          <w:rFonts w:ascii="Arial" w:hAnsi="Arial" w:cs="Arial"/>
          <w:sz w:val="22"/>
          <w:szCs w:val="22"/>
        </w:rPr>
      </w:pPr>
      <w:r w:rsidRPr="00CA452E">
        <w:rPr>
          <w:rFonts w:ascii="Arial" w:hAnsi="Arial" w:cs="Arial"/>
          <w:sz w:val="22"/>
          <w:szCs w:val="22"/>
        </w:rPr>
        <w:t xml:space="preserve">Section 112R of the </w:t>
      </w:r>
      <w:r w:rsidR="00122D7F" w:rsidRPr="00122D7F">
        <w:rPr>
          <w:rFonts w:ascii="Arial" w:hAnsi="Arial" w:cs="Arial"/>
          <w:i/>
          <w:iCs/>
          <w:sz w:val="22"/>
          <w:szCs w:val="22"/>
        </w:rPr>
        <w:t>Workers’ Compensation and Rehabilitation Regulation 2014</w:t>
      </w:r>
      <w:r w:rsidRPr="00CA452E">
        <w:rPr>
          <w:rFonts w:ascii="Arial" w:hAnsi="Arial" w:cs="Arial"/>
          <w:sz w:val="22"/>
          <w:szCs w:val="22"/>
        </w:rPr>
        <w:t xml:space="preserve"> establishes an expert legal panel to conduct reviews of such decisions. This standalone panel was created to expeditiously consider issues of negligence that would otherwise have to be pursued via litigation in the courts.</w:t>
      </w:r>
    </w:p>
    <w:p w14:paraId="5BF8B8FD" w14:textId="7F4E77A1" w:rsidR="00CA452E" w:rsidRPr="00CA452E" w:rsidRDefault="003F14A3" w:rsidP="00CA452E">
      <w:pPr>
        <w:numPr>
          <w:ilvl w:val="0"/>
          <w:numId w:val="1"/>
        </w:numPr>
        <w:tabs>
          <w:tab w:val="clear" w:pos="720"/>
          <w:tab w:val="num" w:pos="360"/>
        </w:tabs>
        <w:spacing w:before="240" w:after="240"/>
        <w:ind w:left="357" w:hanging="357"/>
        <w:jc w:val="both"/>
        <w:rPr>
          <w:rFonts w:ascii="Arial" w:hAnsi="Arial" w:cs="Arial"/>
          <w:sz w:val="22"/>
          <w:szCs w:val="22"/>
        </w:rPr>
      </w:pPr>
      <w:r>
        <w:rPr>
          <w:rFonts w:ascii="Arial" w:hAnsi="Arial" w:cs="Arial"/>
          <w:sz w:val="22"/>
          <w:szCs w:val="22"/>
          <w:u w:val="single"/>
        </w:rPr>
        <w:t>Cabinet</w:t>
      </w:r>
      <w:r w:rsidRPr="00CA452E">
        <w:rPr>
          <w:rFonts w:ascii="Arial" w:hAnsi="Arial" w:cs="Arial"/>
          <w:sz w:val="22"/>
          <w:szCs w:val="22"/>
          <w:u w:val="single"/>
        </w:rPr>
        <w:t xml:space="preserve"> </w:t>
      </w:r>
      <w:r w:rsidR="00CA452E" w:rsidRPr="00CA452E">
        <w:rPr>
          <w:rFonts w:ascii="Arial" w:hAnsi="Arial" w:cs="Arial"/>
          <w:sz w:val="22"/>
          <w:szCs w:val="22"/>
          <w:u w:val="single"/>
        </w:rPr>
        <w:t>noted</w:t>
      </w:r>
      <w:r w:rsidR="008624AC" w:rsidRPr="00CA452E">
        <w:rPr>
          <w:rFonts w:ascii="Arial" w:hAnsi="Arial" w:cs="Arial"/>
          <w:sz w:val="22"/>
          <w:szCs w:val="22"/>
        </w:rPr>
        <w:t xml:space="preserve"> </w:t>
      </w:r>
      <w:r w:rsidR="00CA452E" w:rsidRPr="00CA452E">
        <w:rPr>
          <w:rFonts w:ascii="Arial" w:hAnsi="Arial" w:cs="Arial"/>
          <w:sz w:val="22"/>
          <w:szCs w:val="22"/>
        </w:rPr>
        <w:t xml:space="preserve">the </w:t>
      </w:r>
      <w:r w:rsidR="00A54D13">
        <w:rPr>
          <w:rFonts w:ascii="Arial" w:hAnsi="Arial" w:cs="Arial"/>
          <w:sz w:val="22"/>
          <w:szCs w:val="22"/>
        </w:rPr>
        <w:t xml:space="preserve">intention of the </w:t>
      </w:r>
      <w:r w:rsidR="00CA452E" w:rsidRPr="00CA452E">
        <w:rPr>
          <w:rFonts w:ascii="Arial" w:hAnsi="Arial" w:cs="Arial"/>
          <w:sz w:val="22"/>
          <w:szCs w:val="22"/>
        </w:rPr>
        <w:t>Minister</w:t>
      </w:r>
      <w:r w:rsidR="00122D7F">
        <w:rPr>
          <w:rFonts w:ascii="Arial" w:hAnsi="Arial" w:cs="Arial"/>
          <w:sz w:val="22"/>
          <w:szCs w:val="22"/>
        </w:rPr>
        <w:t xml:space="preserve"> for Education, Minister for Industrial Relations and Minister for Racing</w:t>
      </w:r>
      <w:r w:rsidR="00CA452E" w:rsidRPr="00CA452E">
        <w:rPr>
          <w:rFonts w:ascii="Arial" w:hAnsi="Arial" w:cs="Arial"/>
          <w:sz w:val="22"/>
          <w:szCs w:val="22"/>
        </w:rPr>
        <w:t xml:space="preserve"> to appoint the following persons to the </w:t>
      </w:r>
      <w:r w:rsidR="00EF6C7B">
        <w:rPr>
          <w:rFonts w:ascii="Arial" w:hAnsi="Arial" w:cs="Arial"/>
          <w:sz w:val="22"/>
          <w:szCs w:val="22"/>
        </w:rPr>
        <w:t xml:space="preserve">panel established under section 193A of the </w:t>
      </w:r>
      <w:r w:rsidR="00122D7F" w:rsidRPr="00122D7F">
        <w:rPr>
          <w:rFonts w:ascii="Arial" w:hAnsi="Arial" w:cs="Arial"/>
          <w:i/>
          <w:iCs/>
          <w:sz w:val="22"/>
          <w:szCs w:val="22"/>
        </w:rPr>
        <w:t>Workers’ Compensation and Rehabilitation Act 2003</w:t>
      </w:r>
      <w:r w:rsidR="00122D7F">
        <w:rPr>
          <w:rFonts w:ascii="Arial" w:hAnsi="Arial" w:cs="Arial"/>
          <w:sz w:val="22"/>
          <w:szCs w:val="22"/>
        </w:rPr>
        <w:t xml:space="preserve"> </w:t>
      </w:r>
      <w:r w:rsidR="00CA452E" w:rsidRPr="00CA452E">
        <w:rPr>
          <w:rFonts w:ascii="Arial" w:hAnsi="Arial" w:cs="Arial"/>
          <w:sz w:val="22"/>
          <w:szCs w:val="22"/>
        </w:rPr>
        <w:t>for a term of three years from the date of Ministerial appointment:</w:t>
      </w: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6"/>
        <w:gridCol w:w="4303"/>
      </w:tblGrid>
      <w:tr w:rsidR="00CA452E" w:rsidRPr="00CA452E" w14:paraId="66003610" w14:textId="77777777" w:rsidTr="00D13458">
        <w:trPr>
          <w:trHeight w:val="225"/>
          <w:tblHeader/>
          <w:jc w:val="center"/>
        </w:trPr>
        <w:tc>
          <w:tcPr>
            <w:tcW w:w="4336" w:type="dxa"/>
            <w:tcBorders>
              <w:top w:val="single" w:sz="6" w:space="0" w:color="auto"/>
              <w:left w:val="single" w:sz="6" w:space="0" w:color="auto"/>
              <w:bottom w:val="single" w:sz="6" w:space="0" w:color="auto"/>
              <w:right w:val="single" w:sz="6" w:space="0" w:color="auto"/>
            </w:tcBorders>
          </w:tcPr>
          <w:p w14:paraId="6FDDAB42" w14:textId="77777777" w:rsidR="00CA452E" w:rsidRPr="00CA452E" w:rsidRDefault="00CA452E" w:rsidP="00CA452E">
            <w:pPr>
              <w:jc w:val="center"/>
              <w:rPr>
                <w:rFonts w:ascii="Arial" w:hAnsi="Arial" w:cs="Arial"/>
                <w:sz w:val="22"/>
                <w:szCs w:val="22"/>
              </w:rPr>
            </w:pPr>
            <w:r w:rsidRPr="00CA452E">
              <w:rPr>
                <w:rFonts w:ascii="Arial" w:hAnsi="Arial" w:cs="Arial"/>
                <w:sz w:val="22"/>
                <w:szCs w:val="22"/>
              </w:rPr>
              <w:t>Name</w:t>
            </w:r>
          </w:p>
        </w:tc>
        <w:tc>
          <w:tcPr>
            <w:tcW w:w="4303" w:type="dxa"/>
            <w:tcBorders>
              <w:top w:val="single" w:sz="6" w:space="0" w:color="auto"/>
              <w:left w:val="single" w:sz="6" w:space="0" w:color="auto"/>
              <w:bottom w:val="single" w:sz="6" w:space="0" w:color="auto"/>
              <w:right w:val="single" w:sz="6" w:space="0" w:color="auto"/>
            </w:tcBorders>
          </w:tcPr>
          <w:p w14:paraId="25FFEBA7" w14:textId="77777777" w:rsidR="00CA452E" w:rsidRPr="00CA452E" w:rsidRDefault="00CA452E" w:rsidP="00CA452E">
            <w:pPr>
              <w:jc w:val="center"/>
              <w:rPr>
                <w:rFonts w:ascii="Arial" w:hAnsi="Arial" w:cs="Arial"/>
                <w:sz w:val="22"/>
                <w:szCs w:val="22"/>
              </w:rPr>
            </w:pPr>
            <w:r w:rsidRPr="00CA452E">
              <w:rPr>
                <w:rFonts w:ascii="Arial" w:hAnsi="Arial" w:cs="Arial"/>
                <w:sz w:val="22"/>
                <w:szCs w:val="22"/>
              </w:rPr>
              <w:t>Position</w:t>
            </w:r>
          </w:p>
        </w:tc>
      </w:tr>
      <w:tr w:rsidR="00CA452E" w:rsidRPr="00CA452E" w14:paraId="56628F97" w14:textId="77777777" w:rsidTr="00D13458">
        <w:trPr>
          <w:trHeight w:val="55"/>
          <w:jc w:val="center"/>
        </w:trPr>
        <w:tc>
          <w:tcPr>
            <w:tcW w:w="4336" w:type="dxa"/>
            <w:tcBorders>
              <w:top w:val="single" w:sz="6" w:space="0" w:color="auto"/>
              <w:left w:val="single" w:sz="6" w:space="0" w:color="auto"/>
              <w:bottom w:val="single" w:sz="6" w:space="0" w:color="auto"/>
              <w:right w:val="single" w:sz="6" w:space="0" w:color="auto"/>
            </w:tcBorders>
            <w:vAlign w:val="center"/>
          </w:tcPr>
          <w:p w14:paraId="31270032" w14:textId="77777777" w:rsidR="00CA452E" w:rsidRPr="00CA452E" w:rsidRDefault="00CA452E" w:rsidP="00CA452E">
            <w:pPr>
              <w:rPr>
                <w:rFonts w:ascii="Arial" w:hAnsi="Arial" w:cs="Arial"/>
                <w:iCs/>
                <w:sz w:val="22"/>
                <w:szCs w:val="22"/>
              </w:rPr>
            </w:pPr>
            <w:r w:rsidRPr="00CA452E">
              <w:rPr>
                <w:rFonts w:ascii="Arial" w:hAnsi="Arial" w:cs="Arial"/>
                <w:sz w:val="22"/>
                <w:szCs w:val="22"/>
              </w:rPr>
              <w:t>Ms Rebecca Treston QC</w:t>
            </w:r>
          </w:p>
        </w:tc>
        <w:tc>
          <w:tcPr>
            <w:tcW w:w="4303" w:type="dxa"/>
            <w:tcBorders>
              <w:top w:val="single" w:sz="6" w:space="0" w:color="auto"/>
              <w:left w:val="single" w:sz="6" w:space="0" w:color="auto"/>
              <w:bottom w:val="single" w:sz="6" w:space="0" w:color="auto"/>
              <w:right w:val="single" w:sz="6" w:space="0" w:color="auto"/>
            </w:tcBorders>
            <w:vAlign w:val="center"/>
          </w:tcPr>
          <w:p w14:paraId="403F45B9" w14:textId="77777777" w:rsidR="00CA452E" w:rsidRPr="00CA452E" w:rsidRDefault="00CA452E" w:rsidP="00CA452E">
            <w:pPr>
              <w:rPr>
                <w:rFonts w:ascii="Arial" w:hAnsi="Arial" w:cs="Arial"/>
                <w:iCs/>
                <w:sz w:val="22"/>
                <w:szCs w:val="22"/>
              </w:rPr>
            </w:pPr>
            <w:r w:rsidRPr="00CA452E">
              <w:rPr>
                <w:rFonts w:ascii="Arial" w:hAnsi="Arial" w:cs="Arial"/>
                <w:iCs/>
                <w:sz w:val="22"/>
                <w:szCs w:val="22"/>
              </w:rPr>
              <w:t>Chairperson</w:t>
            </w:r>
          </w:p>
        </w:tc>
      </w:tr>
      <w:tr w:rsidR="00CA452E" w:rsidRPr="00CA452E" w14:paraId="57C6487A" w14:textId="77777777" w:rsidTr="00D13458">
        <w:trPr>
          <w:trHeight w:val="55"/>
          <w:jc w:val="center"/>
        </w:trPr>
        <w:tc>
          <w:tcPr>
            <w:tcW w:w="4336" w:type="dxa"/>
            <w:tcBorders>
              <w:top w:val="single" w:sz="6" w:space="0" w:color="auto"/>
              <w:left w:val="single" w:sz="6" w:space="0" w:color="auto"/>
              <w:bottom w:val="single" w:sz="6" w:space="0" w:color="auto"/>
              <w:right w:val="single" w:sz="6" w:space="0" w:color="auto"/>
            </w:tcBorders>
            <w:vAlign w:val="center"/>
          </w:tcPr>
          <w:p w14:paraId="1E2B7557" w14:textId="77777777" w:rsidR="00CA452E" w:rsidRPr="00CA452E" w:rsidRDefault="00CA452E" w:rsidP="00CA452E">
            <w:pPr>
              <w:numPr>
                <w:ilvl w:val="12"/>
                <w:numId w:val="0"/>
              </w:numPr>
              <w:rPr>
                <w:rFonts w:ascii="Arial" w:hAnsi="Arial" w:cs="Arial"/>
                <w:iCs/>
                <w:sz w:val="22"/>
                <w:szCs w:val="22"/>
              </w:rPr>
            </w:pPr>
            <w:r w:rsidRPr="00CA452E">
              <w:rPr>
                <w:rFonts w:ascii="Arial" w:hAnsi="Arial" w:cs="Arial"/>
                <w:sz w:val="22"/>
                <w:szCs w:val="22"/>
              </w:rPr>
              <w:t>Mr Richard Lynch</w:t>
            </w:r>
          </w:p>
        </w:tc>
        <w:tc>
          <w:tcPr>
            <w:tcW w:w="4303" w:type="dxa"/>
            <w:tcBorders>
              <w:top w:val="single" w:sz="6" w:space="0" w:color="auto"/>
              <w:left w:val="single" w:sz="6" w:space="0" w:color="auto"/>
              <w:bottom w:val="single" w:sz="6" w:space="0" w:color="auto"/>
              <w:right w:val="single" w:sz="6" w:space="0" w:color="auto"/>
            </w:tcBorders>
            <w:vAlign w:val="center"/>
          </w:tcPr>
          <w:p w14:paraId="04414A26" w14:textId="77777777" w:rsidR="00CA452E" w:rsidRPr="00CA452E" w:rsidRDefault="00CA452E" w:rsidP="00CA452E">
            <w:pPr>
              <w:rPr>
                <w:rFonts w:ascii="Arial" w:hAnsi="Arial" w:cs="Arial"/>
                <w:iCs/>
                <w:sz w:val="22"/>
                <w:szCs w:val="22"/>
              </w:rPr>
            </w:pPr>
            <w:r w:rsidRPr="00CA452E">
              <w:rPr>
                <w:rFonts w:ascii="Arial" w:hAnsi="Arial" w:cs="Arial"/>
                <w:iCs/>
                <w:sz w:val="22"/>
                <w:szCs w:val="22"/>
              </w:rPr>
              <w:t>Member and Alternative Chairperson</w:t>
            </w:r>
          </w:p>
        </w:tc>
      </w:tr>
      <w:tr w:rsidR="00CA452E" w:rsidRPr="00CA452E" w14:paraId="49D9E353" w14:textId="77777777" w:rsidTr="00D13458">
        <w:trPr>
          <w:trHeight w:val="225"/>
          <w:jc w:val="center"/>
        </w:trPr>
        <w:tc>
          <w:tcPr>
            <w:tcW w:w="4336" w:type="dxa"/>
            <w:tcBorders>
              <w:top w:val="single" w:sz="6" w:space="0" w:color="auto"/>
              <w:left w:val="single" w:sz="6" w:space="0" w:color="auto"/>
              <w:bottom w:val="single" w:sz="6" w:space="0" w:color="auto"/>
              <w:right w:val="single" w:sz="6" w:space="0" w:color="auto"/>
            </w:tcBorders>
            <w:vAlign w:val="center"/>
          </w:tcPr>
          <w:p w14:paraId="6CD764C2" w14:textId="77777777" w:rsidR="00CA452E" w:rsidRPr="00CA452E" w:rsidRDefault="00CA452E" w:rsidP="00CA452E">
            <w:pPr>
              <w:numPr>
                <w:ilvl w:val="12"/>
                <w:numId w:val="0"/>
              </w:numPr>
              <w:rPr>
                <w:rFonts w:ascii="Arial" w:hAnsi="Arial" w:cs="Arial"/>
                <w:iCs/>
                <w:sz w:val="22"/>
                <w:szCs w:val="22"/>
              </w:rPr>
            </w:pPr>
            <w:r w:rsidRPr="00CA452E">
              <w:rPr>
                <w:rFonts w:ascii="Arial" w:hAnsi="Arial" w:cs="Arial"/>
                <w:sz w:val="22"/>
                <w:szCs w:val="22"/>
              </w:rPr>
              <w:t>Mr Luke Murphy</w:t>
            </w:r>
          </w:p>
        </w:tc>
        <w:tc>
          <w:tcPr>
            <w:tcW w:w="4303" w:type="dxa"/>
            <w:tcBorders>
              <w:top w:val="single" w:sz="6" w:space="0" w:color="auto"/>
              <w:left w:val="single" w:sz="6" w:space="0" w:color="auto"/>
              <w:bottom w:val="single" w:sz="6" w:space="0" w:color="auto"/>
              <w:right w:val="single" w:sz="6" w:space="0" w:color="auto"/>
            </w:tcBorders>
            <w:vAlign w:val="center"/>
          </w:tcPr>
          <w:p w14:paraId="1E414AA8" w14:textId="77777777" w:rsidR="00CA452E" w:rsidRPr="00CA452E" w:rsidRDefault="00CA452E" w:rsidP="00CA452E">
            <w:pPr>
              <w:rPr>
                <w:rFonts w:ascii="Arial" w:hAnsi="Arial" w:cs="Arial"/>
                <w:iCs/>
                <w:sz w:val="22"/>
                <w:szCs w:val="22"/>
              </w:rPr>
            </w:pPr>
            <w:r w:rsidRPr="00CA452E">
              <w:rPr>
                <w:rFonts w:ascii="Arial" w:hAnsi="Arial" w:cs="Arial"/>
                <w:iCs/>
                <w:sz w:val="22"/>
                <w:szCs w:val="22"/>
              </w:rPr>
              <w:t>Member</w:t>
            </w:r>
          </w:p>
        </w:tc>
      </w:tr>
      <w:tr w:rsidR="00CA452E" w:rsidRPr="00CA452E" w14:paraId="751AD0F3" w14:textId="77777777" w:rsidTr="00D13458">
        <w:trPr>
          <w:trHeight w:val="225"/>
          <w:jc w:val="center"/>
        </w:trPr>
        <w:tc>
          <w:tcPr>
            <w:tcW w:w="4336" w:type="dxa"/>
            <w:tcBorders>
              <w:top w:val="single" w:sz="6" w:space="0" w:color="auto"/>
              <w:left w:val="single" w:sz="6" w:space="0" w:color="auto"/>
              <w:bottom w:val="single" w:sz="6" w:space="0" w:color="auto"/>
              <w:right w:val="single" w:sz="6" w:space="0" w:color="auto"/>
            </w:tcBorders>
            <w:vAlign w:val="center"/>
          </w:tcPr>
          <w:p w14:paraId="46F2CE41" w14:textId="77777777" w:rsidR="00CA452E" w:rsidRPr="00CA452E" w:rsidRDefault="00CA452E" w:rsidP="00CA452E">
            <w:pPr>
              <w:numPr>
                <w:ilvl w:val="12"/>
                <w:numId w:val="0"/>
              </w:numPr>
              <w:rPr>
                <w:rFonts w:ascii="Arial" w:hAnsi="Arial" w:cs="Arial"/>
                <w:iCs/>
                <w:sz w:val="22"/>
                <w:szCs w:val="22"/>
              </w:rPr>
            </w:pPr>
            <w:r w:rsidRPr="00CA452E">
              <w:rPr>
                <w:rFonts w:ascii="Arial" w:hAnsi="Arial" w:cs="Arial"/>
                <w:sz w:val="22"/>
                <w:szCs w:val="22"/>
              </w:rPr>
              <w:t>Ms Laura Neil</w:t>
            </w:r>
          </w:p>
        </w:tc>
        <w:tc>
          <w:tcPr>
            <w:tcW w:w="4303" w:type="dxa"/>
            <w:tcBorders>
              <w:top w:val="single" w:sz="6" w:space="0" w:color="auto"/>
              <w:left w:val="single" w:sz="6" w:space="0" w:color="auto"/>
              <w:bottom w:val="single" w:sz="6" w:space="0" w:color="auto"/>
              <w:right w:val="single" w:sz="6" w:space="0" w:color="auto"/>
            </w:tcBorders>
            <w:vAlign w:val="center"/>
          </w:tcPr>
          <w:p w14:paraId="6BDF6B0D" w14:textId="77777777" w:rsidR="00CA452E" w:rsidRPr="00CA452E" w:rsidRDefault="00CA452E" w:rsidP="00CA452E">
            <w:pPr>
              <w:rPr>
                <w:rFonts w:ascii="Arial" w:hAnsi="Arial" w:cs="Arial"/>
                <w:iCs/>
                <w:sz w:val="22"/>
                <w:szCs w:val="22"/>
              </w:rPr>
            </w:pPr>
            <w:r w:rsidRPr="00CA452E">
              <w:rPr>
                <w:rFonts w:ascii="Arial" w:hAnsi="Arial" w:cs="Arial"/>
                <w:iCs/>
                <w:sz w:val="22"/>
                <w:szCs w:val="22"/>
              </w:rPr>
              <w:t>Member</w:t>
            </w:r>
          </w:p>
        </w:tc>
      </w:tr>
    </w:tbl>
    <w:p w14:paraId="738E52CB" w14:textId="4E37F273" w:rsidR="008624AC" w:rsidRDefault="003B16C2" w:rsidP="003B16C2">
      <w:pPr>
        <w:numPr>
          <w:ilvl w:val="0"/>
          <w:numId w:val="1"/>
        </w:numPr>
        <w:tabs>
          <w:tab w:val="clear" w:pos="720"/>
          <w:tab w:val="num" w:pos="360"/>
        </w:tabs>
        <w:spacing w:before="240" w:after="240"/>
        <w:ind w:left="357" w:hanging="357"/>
        <w:jc w:val="both"/>
        <w:rPr>
          <w:rFonts w:ascii="Arial" w:hAnsi="Arial" w:cs="Arial"/>
          <w:bCs/>
          <w:spacing w:val="-3"/>
          <w:sz w:val="22"/>
          <w:szCs w:val="22"/>
        </w:rPr>
      </w:pPr>
      <w:r w:rsidRPr="003B16C2">
        <w:rPr>
          <w:rFonts w:ascii="Arial" w:hAnsi="Arial" w:cs="Arial"/>
          <w:bCs/>
          <w:i/>
          <w:iCs/>
          <w:spacing w:val="-3"/>
          <w:sz w:val="22"/>
          <w:szCs w:val="22"/>
          <w:u w:val="single"/>
        </w:rPr>
        <w:t>Attachments</w:t>
      </w:r>
      <w:r>
        <w:rPr>
          <w:rFonts w:ascii="Arial" w:hAnsi="Arial" w:cs="Arial"/>
          <w:bCs/>
          <w:spacing w:val="-3"/>
          <w:sz w:val="22"/>
          <w:szCs w:val="22"/>
        </w:rPr>
        <w:t>:</w:t>
      </w:r>
    </w:p>
    <w:p w14:paraId="535D14BF" w14:textId="7A06CEBE" w:rsidR="003B16C2" w:rsidRPr="003B16C2" w:rsidRDefault="003B16C2" w:rsidP="003B16C2">
      <w:pPr>
        <w:pStyle w:val="ListParagraph"/>
        <w:numPr>
          <w:ilvl w:val="0"/>
          <w:numId w:val="5"/>
        </w:numPr>
        <w:spacing w:before="240" w:after="240"/>
        <w:jc w:val="both"/>
        <w:rPr>
          <w:rFonts w:ascii="Arial" w:hAnsi="Arial" w:cs="Arial"/>
          <w:bCs/>
          <w:spacing w:val="-3"/>
          <w:sz w:val="22"/>
          <w:szCs w:val="22"/>
        </w:rPr>
      </w:pPr>
      <w:r w:rsidRPr="003B16C2">
        <w:rPr>
          <w:rFonts w:ascii="Arial" w:hAnsi="Arial" w:cs="Arial"/>
          <w:bCs/>
          <w:spacing w:val="-3"/>
          <w:sz w:val="22"/>
          <w:szCs w:val="22"/>
        </w:rPr>
        <w:t>Nil.</w:t>
      </w:r>
    </w:p>
    <w:sectPr w:rsidR="003B16C2" w:rsidRPr="003B16C2" w:rsidSect="000A2275">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A3FB" w14:textId="77777777" w:rsidR="000B4C36" w:rsidRDefault="000B4C36" w:rsidP="00D6589B">
      <w:r>
        <w:separator/>
      </w:r>
    </w:p>
  </w:endnote>
  <w:endnote w:type="continuationSeparator" w:id="0">
    <w:p w14:paraId="7639C571" w14:textId="77777777" w:rsidR="000B4C36" w:rsidRDefault="000B4C3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C87D" w14:textId="77777777" w:rsidR="000B4C36" w:rsidRDefault="000B4C36" w:rsidP="00D6589B">
      <w:r>
        <w:separator/>
      </w:r>
    </w:p>
  </w:footnote>
  <w:footnote w:type="continuationSeparator" w:id="0">
    <w:p w14:paraId="5D1A615E" w14:textId="77777777" w:rsidR="000B4C36" w:rsidRDefault="000B4C3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299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9D6826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5560BA1" w14:textId="626CB108" w:rsidR="00937A4A" w:rsidRPr="00937A4A" w:rsidRDefault="003F14A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w:t>
    </w:r>
    <w:r w:rsidR="0019280F">
      <w:rPr>
        <w:rFonts w:ascii="Arial" w:hAnsi="Arial" w:cs="Arial"/>
        <w:b/>
        <w:color w:val="auto"/>
        <w:sz w:val="22"/>
        <w:szCs w:val="22"/>
        <w:lang w:eastAsia="en-US"/>
      </w:rPr>
      <w:t xml:space="preserve"> </w:t>
    </w:r>
    <w:r w:rsidR="009854DE">
      <w:rPr>
        <w:rFonts w:ascii="Arial" w:hAnsi="Arial" w:cs="Arial"/>
        <w:b/>
        <w:color w:val="auto"/>
        <w:sz w:val="22"/>
        <w:szCs w:val="22"/>
        <w:lang w:eastAsia="en-US"/>
      </w:rPr>
      <w:t>March</w:t>
    </w:r>
    <w:r w:rsidR="00937A4A">
      <w:rPr>
        <w:rFonts w:ascii="Arial" w:hAnsi="Arial" w:cs="Arial"/>
        <w:b/>
        <w:color w:val="auto"/>
        <w:sz w:val="22"/>
        <w:szCs w:val="22"/>
        <w:lang w:eastAsia="en-US"/>
      </w:rPr>
      <w:t xml:space="preserve"> </w:t>
    </w:r>
    <w:r w:rsidR="004D5D64">
      <w:rPr>
        <w:rFonts w:ascii="Arial" w:hAnsi="Arial" w:cs="Arial"/>
        <w:b/>
        <w:color w:val="auto"/>
        <w:sz w:val="22"/>
        <w:szCs w:val="22"/>
        <w:lang w:eastAsia="en-US"/>
      </w:rPr>
      <w:t>202</w:t>
    </w:r>
    <w:r w:rsidR="00DB09E8">
      <w:rPr>
        <w:rFonts w:ascii="Arial" w:hAnsi="Arial" w:cs="Arial"/>
        <w:b/>
        <w:color w:val="auto"/>
        <w:sz w:val="22"/>
        <w:szCs w:val="22"/>
        <w:lang w:eastAsia="en-US"/>
      </w:rPr>
      <w:t>1</w:t>
    </w:r>
  </w:p>
  <w:p w14:paraId="4108E15A" w14:textId="161D4235" w:rsidR="008624AC" w:rsidRDefault="00DB09E8" w:rsidP="0019280F">
    <w:pPr>
      <w:pStyle w:val="Header"/>
      <w:spacing w:before="120"/>
      <w:jc w:val="both"/>
      <w:rPr>
        <w:rFonts w:ascii="Arial" w:hAnsi="Arial" w:cs="Arial"/>
        <w:b/>
        <w:sz w:val="22"/>
        <w:szCs w:val="22"/>
        <w:u w:val="single"/>
      </w:rPr>
    </w:pPr>
    <w:r w:rsidRPr="00DB09E8">
      <w:rPr>
        <w:rFonts w:ascii="Arial" w:hAnsi="Arial" w:cs="Arial"/>
        <w:b/>
        <w:sz w:val="22"/>
        <w:szCs w:val="22"/>
        <w:u w:val="single"/>
      </w:rPr>
      <w:t xml:space="preserve">Appointment of chairperson and members of the panel established under section 193A of the </w:t>
    </w:r>
    <w:r w:rsidRPr="00DB09E8">
      <w:rPr>
        <w:rFonts w:ascii="Arial" w:hAnsi="Arial" w:cs="Arial"/>
        <w:b/>
        <w:i/>
        <w:iCs/>
        <w:sz w:val="22"/>
        <w:szCs w:val="22"/>
        <w:u w:val="single"/>
      </w:rPr>
      <w:t>Workers’ Compensation and Rehabilitation Act 2003</w:t>
    </w:r>
  </w:p>
  <w:p w14:paraId="0CBA0693" w14:textId="47B0BB4B" w:rsidR="00CB1501" w:rsidRDefault="00DB09E8" w:rsidP="00D6589B">
    <w:pPr>
      <w:pStyle w:val="Header"/>
      <w:spacing w:before="120"/>
      <w:rPr>
        <w:rFonts w:ascii="Arial" w:hAnsi="Arial" w:cs="Arial"/>
        <w:b/>
        <w:sz w:val="22"/>
        <w:szCs w:val="22"/>
        <w:u w:val="single"/>
      </w:rPr>
    </w:pPr>
    <w:r w:rsidRPr="00DB09E8">
      <w:rPr>
        <w:rFonts w:ascii="Arial" w:hAnsi="Arial" w:cs="Arial"/>
        <w:b/>
        <w:sz w:val="22"/>
        <w:szCs w:val="22"/>
        <w:u w:val="single"/>
      </w:rPr>
      <w:t>Minister for Education, Minister for Industrial Relations and Minister for Racing</w:t>
    </w:r>
  </w:p>
  <w:p w14:paraId="579AF6D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2352989"/>
    <w:multiLevelType w:val="hybridMultilevel"/>
    <w:tmpl w:val="5F6E52F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0F"/>
    <w:rsid w:val="00061458"/>
    <w:rsid w:val="00065ACD"/>
    <w:rsid w:val="00080F8F"/>
    <w:rsid w:val="000A2275"/>
    <w:rsid w:val="000B4C36"/>
    <w:rsid w:val="0010384C"/>
    <w:rsid w:val="00122D7F"/>
    <w:rsid w:val="00174117"/>
    <w:rsid w:val="0019280F"/>
    <w:rsid w:val="00202520"/>
    <w:rsid w:val="00206780"/>
    <w:rsid w:val="0022334F"/>
    <w:rsid w:val="002A2054"/>
    <w:rsid w:val="00310571"/>
    <w:rsid w:val="003B16C2"/>
    <w:rsid w:val="003B5FC9"/>
    <w:rsid w:val="003F14A3"/>
    <w:rsid w:val="004D5D64"/>
    <w:rsid w:val="00501C66"/>
    <w:rsid w:val="00550873"/>
    <w:rsid w:val="005E0B6D"/>
    <w:rsid w:val="00671B32"/>
    <w:rsid w:val="006C30DA"/>
    <w:rsid w:val="0071406A"/>
    <w:rsid w:val="007265D0"/>
    <w:rsid w:val="00732E22"/>
    <w:rsid w:val="00741C20"/>
    <w:rsid w:val="007A4812"/>
    <w:rsid w:val="007F77B0"/>
    <w:rsid w:val="008624AC"/>
    <w:rsid w:val="0087068A"/>
    <w:rsid w:val="00904077"/>
    <w:rsid w:val="00937A4A"/>
    <w:rsid w:val="00980746"/>
    <w:rsid w:val="009854DE"/>
    <w:rsid w:val="00A00798"/>
    <w:rsid w:val="00A136BC"/>
    <w:rsid w:val="00A54D13"/>
    <w:rsid w:val="00AB5387"/>
    <w:rsid w:val="00AD5196"/>
    <w:rsid w:val="00AE6113"/>
    <w:rsid w:val="00B01BF5"/>
    <w:rsid w:val="00C17E90"/>
    <w:rsid w:val="00C75E67"/>
    <w:rsid w:val="00CA452E"/>
    <w:rsid w:val="00CB1501"/>
    <w:rsid w:val="00CD7A50"/>
    <w:rsid w:val="00CE2164"/>
    <w:rsid w:val="00CF0D8A"/>
    <w:rsid w:val="00D13458"/>
    <w:rsid w:val="00D45443"/>
    <w:rsid w:val="00D6589B"/>
    <w:rsid w:val="00DB09E8"/>
    <w:rsid w:val="00DE7C62"/>
    <w:rsid w:val="00EF6C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semiHidden/>
    <w:unhideWhenUsed/>
    <w:rsid w:val="00CA452E"/>
    <w:rPr>
      <w:sz w:val="16"/>
      <w:szCs w:val="16"/>
    </w:rPr>
  </w:style>
  <w:style w:type="paragraph" w:styleId="CommentText">
    <w:name w:val="annotation text"/>
    <w:basedOn w:val="Normal"/>
    <w:link w:val="CommentTextChar"/>
    <w:semiHidden/>
    <w:unhideWhenUsed/>
    <w:rsid w:val="00CA452E"/>
    <w:rPr>
      <w:sz w:val="20"/>
    </w:rPr>
  </w:style>
  <w:style w:type="character" w:customStyle="1" w:styleId="CommentTextChar">
    <w:name w:val="Comment Text Char"/>
    <w:basedOn w:val="DefaultParagraphFont"/>
    <w:link w:val="CommentText"/>
    <w:semiHidden/>
    <w:rsid w:val="00CA452E"/>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22D7F"/>
    <w:rPr>
      <w:b/>
      <w:bCs/>
    </w:rPr>
  </w:style>
  <w:style w:type="character" w:customStyle="1" w:styleId="CommentSubjectChar">
    <w:name w:val="Comment Subject Char"/>
    <w:basedOn w:val="CommentTextChar"/>
    <w:link w:val="CommentSubject"/>
    <w:uiPriority w:val="99"/>
    <w:semiHidden/>
    <w:rsid w:val="00122D7F"/>
    <w:rPr>
      <w:rFonts w:ascii="Times New Roman" w:eastAsia="Times New Roman" w:hAnsi="Times New Roman"/>
      <w:b/>
      <w:bCs/>
      <w:color w:val="000000"/>
    </w:rPr>
  </w:style>
  <w:style w:type="paragraph" w:styleId="ListParagraph">
    <w:name w:val="List Paragraph"/>
    <w:basedOn w:val="Normal"/>
    <w:uiPriority w:val="34"/>
    <w:qFormat/>
    <w:rsid w:val="003B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B2B1-B641-468E-8AD0-C9D27AAD4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81A74-8848-4AED-AA6B-3AAE3349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7F90B-C579-460F-B348-A19FF2274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161</Words>
  <Characters>883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Cabinet</vt:lpstr>
    </vt:vector>
  </TitlesOfParts>
  <Manager/>
  <Company/>
  <LinksUpToDate>false</LinksUpToDate>
  <CharactersWithSpaces>1034</CharactersWithSpaces>
  <SharedDoc>false</SharedDoc>
  <HyperlinkBase>https://www.cabinet.qld.gov.au/documents/2021/Mar/WorkersCompReviewPanelAppts/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
  <cp:keywords/>
  <cp:lastModifiedBy/>
  <cp:revision>18</cp:revision>
  <cp:lastPrinted>2021-03-16T22:26:00Z</cp:lastPrinted>
  <dcterms:created xsi:type="dcterms:W3CDTF">2021-02-17T06:27:00Z</dcterms:created>
  <dcterms:modified xsi:type="dcterms:W3CDTF">2021-07-12T04:16:00Z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TaxKeyword">
    <vt:lpwstr/>
  </property>
  <property fmtid="{D5CDD505-2E9C-101B-9397-08002B2CF9AE}" pid="6" name="RecordPoint_ActiveItemUniqueId">
    <vt:lpwstr>{0d14ac9e-fd0b-485a-8177-63c63bd0d48a}</vt:lpwstr>
  </property>
  <property fmtid="{D5CDD505-2E9C-101B-9397-08002B2CF9AE}" pid="7" name="RecordPoint_WorkflowType">
    <vt:lpwstr>ActiveSubmitStub</vt:lpwstr>
  </property>
  <property fmtid="{D5CDD505-2E9C-101B-9397-08002B2CF9AE}" pid="8" name="RecordPoint_ActiveItemSiteId">
    <vt:lpwstr>{6a31b40d-2886-4f0b-82a0-176ad4f012a0}</vt:lpwstr>
  </property>
  <property fmtid="{D5CDD505-2E9C-101B-9397-08002B2CF9AE}" pid="9" name="RecordPoint_ActiveItemListId">
    <vt:lpwstr>{7bfdd1fa-d634-48f1-bdbc-35997c745eed}</vt:lpwstr>
  </property>
  <property fmtid="{D5CDD505-2E9C-101B-9397-08002B2CF9AE}" pid="10" name="RecordPoint_ActiveItemWebId">
    <vt:lpwstr>{6f39937c-2cbd-4c29-b820-32dc27212a6c}</vt:lpwstr>
  </property>
  <property fmtid="{D5CDD505-2E9C-101B-9397-08002B2CF9AE}" pid="11" name="RecordPoint_RecordNumberSubmitted">
    <vt:lpwstr>R0000066821</vt:lpwstr>
  </property>
  <property fmtid="{D5CDD505-2E9C-101B-9397-08002B2CF9AE}" pid="12" name="RecordPoint_SubmissionCompleted">
    <vt:lpwstr>2020-08-06T09:26:34.8146349+10:00</vt:lpwstr>
  </property>
  <property fmtid="{D5CDD505-2E9C-101B-9397-08002B2CF9AE}" pid="13" name="WorkflowChangePath">
    <vt:lpwstr>a7fd4e4a-3707-421d-bbd0-9fd5aa0dec9b,3;a7fd4e4a-3707-421d-bbd0-9fd5aa0dec9b,2;</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TaxCatchAll">
    <vt:lpwstr/>
  </property>
  <property fmtid="{D5CDD505-2E9C-101B-9397-08002B2CF9AE}" pid="18" name="_NewReviewCycle">
    <vt:lpwstr/>
  </property>
</Properties>
</file>